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Fassadensanierung Kreisberufsschulzentrum Aalen -BA 3-5 Trockenbauarbeiten-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2026-LRA-II-24-20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Trockenbauarbeiten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